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C4" w:rsidRDefault="00C71CC4">
      <w:pPr>
        <w:bidi w:val="0"/>
        <w:spacing w:after="391" w:line="259" w:lineRule="auto"/>
        <w:ind w:left="0" w:right="324" w:firstLine="0"/>
        <w:jc w:val="center"/>
      </w:pPr>
    </w:p>
    <w:p w:rsidR="00C71CC4" w:rsidRDefault="001055A7">
      <w:pPr>
        <w:spacing w:after="343" w:line="259" w:lineRule="auto"/>
        <w:ind w:left="0" w:firstLine="0"/>
        <w:jc w:val="center"/>
      </w:pPr>
      <w:r>
        <w:rPr>
          <w:rFonts w:ascii="Calibri" w:eastAsia="Calibri" w:hAnsi="Calibri" w:cs="Times New Roman"/>
          <w:b/>
          <w:bCs/>
          <w:sz w:val="40"/>
          <w:szCs w:val="40"/>
          <w:shd w:val="clear" w:color="auto" w:fill="A9A9A9"/>
          <w:rtl/>
        </w:rPr>
        <w:t xml:space="preserve">هفته ملی سلامت مردان ایران </w:t>
      </w:r>
      <w:r>
        <w:rPr>
          <w:rFonts w:ascii="Calibri" w:eastAsia="Calibri" w:hAnsi="Calibri" w:cs="Calibri"/>
          <w:b/>
          <w:bCs/>
          <w:sz w:val="40"/>
          <w:szCs w:val="40"/>
          <w:shd w:val="clear" w:color="auto" w:fill="A9A9A9"/>
        </w:rPr>
        <w:t>1400</w:t>
      </w:r>
      <w:r>
        <w:rPr>
          <w:rFonts w:ascii="Calibri" w:eastAsia="Calibri" w:hAnsi="Calibri" w:cs="Times New Roman"/>
          <w:b/>
          <w:bCs/>
          <w:sz w:val="40"/>
          <w:szCs w:val="40"/>
          <w:shd w:val="clear" w:color="auto" w:fill="A9A9A9"/>
          <w:rtl/>
        </w:rPr>
        <w:t xml:space="preserve"> گرامی باد</w:t>
      </w:r>
    </w:p>
    <w:p w:rsidR="00C71CC4" w:rsidRDefault="00C71CC4">
      <w:pPr>
        <w:bidi w:val="0"/>
        <w:spacing w:after="370" w:line="259" w:lineRule="auto"/>
        <w:ind w:left="0" w:right="113" w:firstLine="0"/>
        <w:jc w:val="right"/>
      </w:pPr>
    </w:p>
    <w:p w:rsidR="00C71CC4" w:rsidRDefault="00C71CC4">
      <w:pPr>
        <w:bidi w:val="0"/>
        <w:spacing w:after="370" w:line="259" w:lineRule="auto"/>
        <w:ind w:left="0" w:right="113" w:firstLine="0"/>
        <w:jc w:val="right"/>
      </w:pPr>
    </w:p>
    <w:p w:rsidR="007E11D3" w:rsidRPr="003B4EED" w:rsidRDefault="007E11D3" w:rsidP="007E11D3">
      <w:pPr>
        <w:rPr>
          <w:rFonts w:cs="B Titr"/>
          <w:color w:val="FF0000"/>
          <w:sz w:val="40"/>
          <w:szCs w:val="40"/>
        </w:rPr>
      </w:pPr>
      <w:r w:rsidRPr="003B4EED">
        <w:rPr>
          <w:rFonts w:cs="B Titr"/>
          <w:color w:val="FF0000"/>
          <w:sz w:val="40"/>
          <w:szCs w:val="40"/>
          <w:rtl/>
        </w:rPr>
        <w:t>مشارکت مردان ، واکسیناسیون حداکثری</w:t>
      </w:r>
      <w:r w:rsidRPr="003B4EED">
        <w:rPr>
          <w:rFonts w:cs="B Titr" w:hint="cs"/>
          <w:color w:val="FF0000"/>
          <w:sz w:val="40"/>
          <w:szCs w:val="40"/>
          <w:rtl/>
        </w:rPr>
        <w:t>(</w:t>
      </w:r>
      <w:r w:rsidRPr="003B4EED">
        <w:rPr>
          <w:rFonts w:cs="B Titr"/>
          <w:color w:val="FF0000"/>
          <w:sz w:val="40"/>
          <w:szCs w:val="40"/>
          <w:rtl/>
        </w:rPr>
        <w:t>کرونا</w:t>
      </w:r>
      <w:r w:rsidRPr="003B4EED">
        <w:rPr>
          <w:rFonts w:cs="B Titr" w:hint="cs"/>
          <w:color w:val="FF0000"/>
          <w:sz w:val="40"/>
          <w:szCs w:val="40"/>
          <w:rtl/>
        </w:rPr>
        <w:t>)</w:t>
      </w:r>
      <w:r w:rsidRPr="003B4EED">
        <w:rPr>
          <w:rFonts w:cs="B Titr"/>
          <w:color w:val="FF0000"/>
          <w:sz w:val="40"/>
          <w:szCs w:val="40"/>
          <w:rtl/>
        </w:rPr>
        <w:t xml:space="preserve"> ، محافظت جمعی</w:t>
      </w:r>
    </w:p>
    <w:p w:rsidR="00C71CC4" w:rsidRDefault="00C71CC4">
      <w:pPr>
        <w:bidi w:val="0"/>
        <w:spacing w:after="189" w:line="259" w:lineRule="auto"/>
        <w:ind w:left="0" w:right="82" w:firstLine="0"/>
        <w:jc w:val="right"/>
      </w:pPr>
    </w:p>
    <w:p w:rsidR="00C71CC4" w:rsidRDefault="00C71CC4">
      <w:pPr>
        <w:bidi w:val="0"/>
        <w:spacing w:after="0" w:line="259" w:lineRule="auto"/>
        <w:ind w:left="0" w:right="82" w:firstLine="0"/>
        <w:jc w:val="right"/>
      </w:pPr>
    </w:p>
    <w:p w:rsidR="00C71CC4" w:rsidRDefault="001055A7">
      <w:pPr>
        <w:bidi w:val="0"/>
        <w:spacing w:after="0" w:line="259" w:lineRule="auto"/>
        <w:ind w:left="1965" w:right="0" w:firstLine="0"/>
        <w:jc w:val="left"/>
      </w:pPr>
      <w:r>
        <w:rPr>
          <w:noProof/>
        </w:rPr>
        <w:drawing>
          <wp:inline distT="0" distB="0" distL="0" distR="0">
            <wp:extent cx="3447796" cy="299212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7796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C4" w:rsidRDefault="00C71CC4">
      <w:pPr>
        <w:bidi w:val="0"/>
        <w:spacing w:after="33" w:line="259" w:lineRule="auto"/>
        <w:ind w:left="1826" w:right="1971" w:firstLine="0"/>
        <w:jc w:val="left"/>
      </w:pPr>
    </w:p>
    <w:p w:rsidR="00C71CC4" w:rsidRDefault="00C71CC4">
      <w:pPr>
        <w:bidi w:val="0"/>
        <w:spacing w:after="0" w:line="259" w:lineRule="auto"/>
        <w:ind w:left="0" w:right="82" w:firstLine="0"/>
        <w:jc w:val="right"/>
      </w:pPr>
    </w:p>
    <w:p w:rsidR="00C71CC4" w:rsidRDefault="00C71CC4">
      <w:pPr>
        <w:bidi w:val="0"/>
        <w:spacing w:after="223" w:line="259" w:lineRule="auto"/>
        <w:ind w:left="0" w:right="82" w:firstLine="0"/>
        <w:jc w:val="right"/>
        <w:rPr>
          <w:rtl/>
        </w:rPr>
      </w:pPr>
    </w:p>
    <w:p w:rsidR="007E11D3" w:rsidRDefault="007E11D3" w:rsidP="007E11D3">
      <w:pPr>
        <w:bidi w:val="0"/>
        <w:spacing w:after="223" w:line="259" w:lineRule="auto"/>
        <w:ind w:left="0" w:right="82" w:firstLine="0"/>
        <w:jc w:val="right"/>
        <w:rPr>
          <w:rtl/>
        </w:rPr>
      </w:pPr>
    </w:p>
    <w:p w:rsidR="007E11D3" w:rsidRDefault="007E11D3" w:rsidP="007E11D3">
      <w:pPr>
        <w:bidi w:val="0"/>
        <w:spacing w:after="223" w:line="259" w:lineRule="auto"/>
        <w:ind w:left="0" w:right="82" w:firstLine="0"/>
        <w:jc w:val="right"/>
      </w:pPr>
    </w:p>
    <w:p w:rsidR="00C71CC4" w:rsidRDefault="00C71CC4">
      <w:pPr>
        <w:bidi w:val="0"/>
        <w:spacing w:after="0" w:line="259" w:lineRule="auto"/>
        <w:ind w:left="0" w:right="82" w:firstLine="0"/>
        <w:jc w:val="right"/>
      </w:pPr>
    </w:p>
    <w:p w:rsidR="00C71CC4" w:rsidRPr="0021545C" w:rsidRDefault="001055A7" w:rsidP="0021545C">
      <w:pPr>
        <w:rPr>
          <w:rFonts w:cs="B Titr"/>
          <w:color w:val="C00000"/>
          <w:sz w:val="36"/>
          <w:szCs w:val="36"/>
        </w:rPr>
      </w:pPr>
      <w:r w:rsidRPr="0021545C">
        <w:rPr>
          <w:rFonts w:cs="B Titr"/>
          <w:color w:val="C00000"/>
          <w:sz w:val="36"/>
          <w:szCs w:val="36"/>
          <w:rtl/>
        </w:rPr>
        <w:lastRenderedPageBreak/>
        <w:t>مولفه های اجتماعی مرتبط با سلامت مردان:</w:t>
      </w:r>
    </w:p>
    <w:p w:rsidR="00C71CC4" w:rsidRDefault="001055A7">
      <w:pPr>
        <w:bidi w:val="0"/>
        <w:spacing w:after="95" w:line="259" w:lineRule="auto"/>
        <w:ind w:left="0" w:right="56" w:firstLine="0"/>
        <w:jc w:val="right"/>
      </w:pPr>
      <w:r>
        <w:rPr>
          <w:rFonts w:ascii="Times New Roman" w:eastAsia="Times New Roman" w:hAnsi="Times New Roman" w:cs="Times New Roman"/>
          <w:color w:val="333333"/>
        </w:rPr>
        <w:t>SDH</w:t>
      </w:r>
      <w:r>
        <w:rPr>
          <w:color w:val="333333"/>
        </w:rPr>
        <w:t>:</w:t>
      </w:r>
      <w:r>
        <w:rPr>
          <w:rFonts w:ascii="Times New Roman" w:eastAsia="Times New Roman" w:hAnsi="Times New Roman" w:cs="Times New Roman"/>
          <w:color w:val="333333"/>
        </w:rPr>
        <w:t>Social Determinants of Health</w:t>
      </w:r>
    </w:p>
    <w:p w:rsidR="00C71CC4" w:rsidRDefault="001055A7">
      <w:pPr>
        <w:spacing w:after="11" w:line="269" w:lineRule="auto"/>
        <w:ind w:left="-8" w:right="-13" w:hanging="3"/>
      </w:pPr>
      <w:r>
        <w:rPr>
          <w:color w:val="333333"/>
          <w:szCs w:val="24"/>
          <w:rtl/>
        </w:rPr>
        <w:t xml:space="preserve">در دنیای امروز دیدگاه های سلامت چشم اندازی وسیع تر پیدا کرده و به عوامل تعیین کننده غیر طبی سلامت توجه ویژه ای شده است . هر یک از این تعیین کننده ها به خودی خود و یا از طریق تاثیر بر یکدیگر وضعیت سلامتی را به شدت تحت تاثیر قرار می دهند و سبب بروز بی عدالتی هایی در وضعیت سلامت می گردند. </w:t>
      </w:r>
    </w:p>
    <w:p w:rsidR="00C71CC4" w:rsidRDefault="001055A7">
      <w:pPr>
        <w:spacing w:after="11" w:line="269" w:lineRule="auto"/>
        <w:ind w:left="-8" w:right="-13" w:hanging="3"/>
      </w:pPr>
      <w:r>
        <w:rPr>
          <w:color w:val="333333"/>
          <w:szCs w:val="24"/>
          <w:rtl/>
        </w:rPr>
        <w:t xml:space="preserve"> اگرچه مراقبت های پزشکی می توانند باعث طول عمر و یا بهبودی از یک بیماری جدی شوند ولی آن چیزی که برای سلامت جمعیت مهم است، شرایط اجتماعی، اقتصادی است که باعث می شود مردم بیمار شوند و یا نیاز به مراقبت پزشکی پیداکنند. بدین معنا که تعیین کننده های اجتماعی سلامت</w:t>
      </w:r>
      <w:r>
        <w:rPr>
          <w:rFonts w:ascii="Times New Roman" w:eastAsia="Times New Roman" w:hAnsi="Times New Roman" w:cs="Times New Roman"/>
          <w:color w:val="333333"/>
          <w:szCs w:val="24"/>
          <w:rtl/>
        </w:rPr>
        <w:t xml:space="preserve"> (</w:t>
      </w:r>
      <w:r>
        <w:rPr>
          <w:rFonts w:ascii="Times New Roman" w:eastAsia="Times New Roman" w:hAnsi="Times New Roman" w:cs="Times New Roman"/>
          <w:color w:val="333333"/>
        </w:rPr>
        <w:t>Social Determinants ofHealth</w:t>
      </w:r>
      <w:r>
        <w:rPr>
          <w:rFonts w:ascii="Times New Roman" w:eastAsia="Times New Roman" w:hAnsi="Times New Roman" w:cs="Times New Roman"/>
          <w:color w:val="333333"/>
          <w:szCs w:val="24"/>
          <w:rtl/>
        </w:rPr>
        <w:t>)</w:t>
      </w:r>
      <w:r>
        <w:rPr>
          <w:color w:val="333333"/>
          <w:szCs w:val="24"/>
          <w:rtl/>
        </w:rPr>
        <w:t xml:space="preserve">مانند میزان درآمد، سطح تحصیلات ،جنسیت ، شغل، تغذیه، طبقه اجتماعی بسیار بیشتر از عواملی مانند عوامل بیولوژیک سبب ابتلا به بیماری ها می شوند و در سلامت انسان نقش به سزایی دارند واگر نادیده گرفته شوند رسیدن به اهداف سلامتی و برقراری عدالت در سلامت را محال می نمایند.مسائل اجتماعی و مشکلاتی نظیر فقر، بیکاری و بی سوادی، قطعا به عنوان مشکل در تمام کشورهای دنیا با ابعاد متفاوتی وجود دارند و مسلما این خواست تمام دولت هاست که بتوانند راهکاری مناسب برای رفع موانع و ایجاد رفاه ، امنیت و سلامت مردم خویش پیداکنند. </w:t>
      </w:r>
    </w:p>
    <w:p w:rsidR="00C71CC4" w:rsidRDefault="001055A7">
      <w:pPr>
        <w:spacing w:after="11" w:line="269" w:lineRule="auto"/>
        <w:ind w:left="-8" w:right="643" w:hanging="3"/>
      </w:pPr>
      <w:r>
        <w:rPr>
          <w:color w:val="333333"/>
          <w:szCs w:val="24"/>
          <w:rtl/>
        </w:rPr>
        <w:t>اکثریت قریب به اتفاق نابرابری ها در سلامت،  قابل اجتناب بوده و کاهش این بی عدالتی ها بستگی به توجه جدی به علل اجتماعی زمینه ای آن دارد .</w:t>
      </w:r>
    </w:p>
    <w:p w:rsidR="00C71CC4" w:rsidRDefault="001055A7">
      <w:pPr>
        <w:spacing w:after="11" w:line="269" w:lineRule="auto"/>
        <w:ind w:left="-8" w:right="142" w:hanging="3"/>
      </w:pPr>
      <w:r>
        <w:rPr>
          <w:color w:val="333333"/>
          <w:szCs w:val="24"/>
          <w:rtl/>
        </w:rPr>
        <w:t xml:space="preserve">در تعریف جدید سازمان جهانی بهداشت  سلامت </w:t>
      </w:r>
      <w:r>
        <w:rPr>
          <w:szCs w:val="24"/>
          <w:rtl/>
        </w:rPr>
        <w:t xml:space="preserve">به رفاه کامل جسمی، روانی و اجتماعی گفته می شود </w:t>
      </w:r>
      <w:r>
        <w:rPr>
          <w:color w:val="333333"/>
          <w:szCs w:val="24"/>
          <w:rtl/>
        </w:rPr>
        <w:t xml:space="preserve"> بر این اساس، عوامل اجتماعی تعیین کننده سلامت به شرایط اجتماعی که انسان ها در طول چرخه حیاتشان در آن زندگی و کار می کنند توجه دارد. </w:t>
      </w:r>
    </w:p>
    <w:p w:rsidR="00C71CC4" w:rsidRDefault="001055A7">
      <w:pPr>
        <w:spacing w:after="25" w:line="259" w:lineRule="auto"/>
        <w:ind w:left="4" w:right="0" w:hanging="10"/>
        <w:jc w:val="left"/>
      </w:pPr>
      <w:r>
        <w:rPr>
          <w:color w:val="333333"/>
          <w:szCs w:val="24"/>
          <w:rtl/>
        </w:rPr>
        <w:t>شواهد دلالت از آن دارد که اکثر بار بیماری ها و نابرابری های بهداشت و سلامت ناشی از عوامل اجتماعی است.</w:t>
      </w:r>
    </w:p>
    <w:p w:rsidR="00C71CC4" w:rsidRDefault="001055A7">
      <w:pPr>
        <w:spacing w:after="11" w:line="269" w:lineRule="auto"/>
        <w:ind w:left="-8" w:right="-13" w:hanging="3"/>
      </w:pPr>
      <w:r>
        <w:rPr>
          <w:color w:val="333333"/>
          <w:szCs w:val="24"/>
          <w:rtl/>
        </w:rPr>
        <w:t xml:space="preserve">می توان گفت ترکیب ناهمگونی از سیاست ها، مسایل اقتصادی و سیاسی در مقیاس وسیع مسئولیت این پدیده را به عهده داشته و منجر می شوند تا عده کثیری از مردم از سلامت مناسب برخوردار نباشند. </w:t>
      </w:r>
    </w:p>
    <w:p w:rsidR="00C71CC4" w:rsidRPr="002843AF" w:rsidRDefault="001055A7">
      <w:pPr>
        <w:spacing w:after="25" w:line="259" w:lineRule="auto"/>
        <w:ind w:left="4" w:right="0" w:hanging="10"/>
        <w:jc w:val="left"/>
        <w:rPr>
          <w:rFonts w:cs="B Titr"/>
        </w:rPr>
      </w:pPr>
      <w:r w:rsidRPr="002843AF">
        <w:rPr>
          <w:rFonts w:cs="B Titr"/>
          <w:color w:val="333333"/>
          <w:szCs w:val="24"/>
          <w:rtl/>
        </w:rPr>
        <w:t xml:space="preserve">برخی از عوامل اجتماعی موثر بر سلامت عبارتند از: </w:t>
      </w:r>
    </w:p>
    <w:p w:rsidR="00C71CC4" w:rsidRDefault="001055A7" w:rsidP="007A3266">
      <w:pPr>
        <w:spacing w:after="11" w:line="269" w:lineRule="auto"/>
        <w:ind w:left="-8" w:right="-13" w:hanging="3"/>
      </w:pPr>
      <w:r>
        <w:rPr>
          <w:color w:val="333333"/>
          <w:szCs w:val="24"/>
          <w:rtl/>
        </w:rPr>
        <w:t xml:space="preserve">۱- محل اقامت </w:t>
      </w:r>
      <w:r w:rsidR="007A3266">
        <w:rPr>
          <w:color w:val="333333"/>
          <w:szCs w:val="24"/>
        </w:rPr>
        <w:t>)</w:t>
      </w:r>
      <w:r>
        <w:rPr>
          <w:color w:val="333333"/>
          <w:szCs w:val="24"/>
          <w:rtl/>
        </w:rPr>
        <w:t>تفاوت بین شهر و روستا، گروه های منطقه ای، پایتخت در مقابل سایر مناطق</w:t>
      </w:r>
      <w:r w:rsidR="007A3266">
        <w:rPr>
          <w:color w:val="333333"/>
          <w:szCs w:val="24"/>
        </w:rPr>
        <w:t>(</w:t>
      </w:r>
      <w:r>
        <w:rPr>
          <w:color w:val="333333"/>
          <w:szCs w:val="24"/>
          <w:rtl/>
        </w:rPr>
        <w:t xml:space="preserve"> و بخش های دیگر شهرها </w:t>
      </w:r>
    </w:p>
    <w:p w:rsidR="00C71CC4" w:rsidRDefault="001055A7">
      <w:pPr>
        <w:numPr>
          <w:ilvl w:val="0"/>
          <w:numId w:val="5"/>
        </w:numPr>
        <w:spacing w:after="25" w:line="259" w:lineRule="auto"/>
        <w:ind w:right="0" w:hanging="269"/>
        <w:jc w:val="left"/>
      </w:pPr>
      <w:r>
        <w:rPr>
          <w:color w:val="333333"/>
          <w:szCs w:val="24"/>
          <w:rtl/>
        </w:rPr>
        <w:t xml:space="preserve">نژاد </w:t>
      </w:r>
    </w:p>
    <w:p w:rsidR="00C71CC4" w:rsidRDefault="001055A7">
      <w:pPr>
        <w:numPr>
          <w:ilvl w:val="0"/>
          <w:numId w:val="5"/>
        </w:numPr>
        <w:spacing w:after="25" w:line="259" w:lineRule="auto"/>
        <w:ind w:right="0" w:hanging="269"/>
        <w:jc w:val="left"/>
      </w:pPr>
      <w:r>
        <w:rPr>
          <w:color w:val="333333"/>
          <w:szCs w:val="24"/>
          <w:rtl/>
        </w:rPr>
        <w:t xml:space="preserve">شغل و آسیب پذیری های درآمدی </w:t>
      </w:r>
    </w:p>
    <w:p w:rsidR="00C71CC4" w:rsidRDefault="001055A7">
      <w:pPr>
        <w:numPr>
          <w:ilvl w:val="0"/>
          <w:numId w:val="5"/>
        </w:numPr>
        <w:spacing w:after="25" w:line="259" w:lineRule="auto"/>
        <w:ind w:right="0" w:hanging="269"/>
        <w:jc w:val="left"/>
      </w:pPr>
      <w:r>
        <w:rPr>
          <w:color w:val="333333"/>
          <w:szCs w:val="24"/>
          <w:rtl/>
        </w:rPr>
        <w:t xml:space="preserve">جنسیت که اغلب نشان دهنده آسیب پذیری های ناشی از قوانین و هنجارهای مرتبط با جنسیت می باشد </w:t>
      </w:r>
    </w:p>
    <w:p w:rsidR="00C71CC4" w:rsidRDefault="001055A7">
      <w:pPr>
        <w:numPr>
          <w:ilvl w:val="0"/>
          <w:numId w:val="5"/>
        </w:numPr>
        <w:spacing w:after="25" w:line="259" w:lineRule="auto"/>
        <w:ind w:right="0" w:hanging="269"/>
        <w:jc w:val="left"/>
      </w:pPr>
      <w:r>
        <w:rPr>
          <w:color w:val="333333"/>
          <w:szCs w:val="24"/>
          <w:rtl/>
        </w:rPr>
        <w:t xml:space="preserve">فرهنگ و ارزش ها </w:t>
      </w:r>
    </w:p>
    <w:p w:rsidR="00C71CC4" w:rsidRDefault="001055A7">
      <w:pPr>
        <w:numPr>
          <w:ilvl w:val="0"/>
          <w:numId w:val="5"/>
        </w:numPr>
        <w:spacing w:after="25" w:line="259" w:lineRule="auto"/>
        <w:ind w:right="0" w:hanging="269"/>
        <w:jc w:val="left"/>
      </w:pPr>
      <w:r>
        <w:rPr>
          <w:color w:val="333333"/>
          <w:szCs w:val="24"/>
          <w:rtl/>
        </w:rPr>
        <w:t xml:space="preserve">تحصیلات </w:t>
      </w:r>
    </w:p>
    <w:p w:rsidR="00C71CC4" w:rsidRDefault="001055A7">
      <w:pPr>
        <w:numPr>
          <w:ilvl w:val="0"/>
          <w:numId w:val="5"/>
        </w:numPr>
        <w:spacing w:after="25" w:line="259" w:lineRule="auto"/>
        <w:ind w:right="0" w:hanging="269"/>
        <w:jc w:val="left"/>
      </w:pPr>
      <w:r>
        <w:rPr>
          <w:color w:val="333333"/>
          <w:szCs w:val="24"/>
          <w:rtl/>
        </w:rPr>
        <w:t xml:space="preserve">وضعیت اقتصادی و اجتماعی </w:t>
      </w:r>
    </w:p>
    <w:p w:rsidR="00C71CC4" w:rsidRDefault="001055A7">
      <w:pPr>
        <w:spacing w:after="25" w:line="259" w:lineRule="auto"/>
        <w:ind w:left="4" w:right="0" w:hanging="10"/>
        <w:jc w:val="left"/>
      </w:pPr>
      <w:r>
        <w:rPr>
          <w:color w:val="333333"/>
          <w:szCs w:val="24"/>
          <w:rtl/>
        </w:rPr>
        <w:t xml:space="preserve">۸- سرمایه اجتماعی </w:t>
      </w:r>
    </w:p>
    <w:p w:rsidR="00C71CC4" w:rsidRDefault="001055A7">
      <w:pPr>
        <w:ind w:left="6" w:right="-13"/>
      </w:pPr>
      <w:r>
        <w:rPr>
          <w:szCs w:val="24"/>
          <w:rtl/>
        </w:rPr>
        <w:lastRenderedPageBreak/>
        <w:t>مولفه های سلامت مردان نیز مجموعه پیچیده ای از عوامل متنوع ذکرشده دربالا و نیز قومیت، طبقه اجتماعی اقتصادی، درآمد ،سن، جهت گیری جنسیتی، وضعیت مهاجرت و</w:t>
      </w:r>
      <w:r w:rsidR="003D66E8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ویژگی های جغرافیایی است. </w:t>
      </w:r>
    </w:p>
    <w:p w:rsidR="00C71CC4" w:rsidRDefault="001055A7">
      <w:pPr>
        <w:ind w:left="6" w:right="-13"/>
      </w:pPr>
      <w:r>
        <w:rPr>
          <w:szCs w:val="24"/>
          <w:rtl/>
        </w:rPr>
        <w:t>یافته</w:t>
      </w:r>
      <w:r w:rsidR="003916A3">
        <w:rPr>
          <w:szCs w:val="24"/>
        </w:rPr>
        <w:t xml:space="preserve"> </w:t>
      </w:r>
      <w:r>
        <w:rPr>
          <w:szCs w:val="24"/>
          <w:rtl/>
        </w:rPr>
        <w:t>های به دست آمده از یک مطالعة کیفی نشان میدهد که دغدغه</w:t>
      </w:r>
      <w:r w:rsidR="00B27466">
        <w:rPr>
          <w:szCs w:val="24"/>
        </w:rPr>
        <w:t xml:space="preserve"> </w:t>
      </w:r>
      <w:r>
        <w:rPr>
          <w:szCs w:val="24"/>
          <w:rtl/>
        </w:rPr>
        <w:t>های اقتصادی، مسائل خانوادگی، فقدان تأمین اجتماعی ودغدغه</w:t>
      </w:r>
      <w:r w:rsidR="003916A3">
        <w:rPr>
          <w:szCs w:val="24"/>
        </w:rPr>
        <w:t xml:space="preserve"> </w:t>
      </w:r>
      <w:r>
        <w:rPr>
          <w:szCs w:val="24"/>
          <w:rtl/>
        </w:rPr>
        <w:t>های ناشی از مدیریت کلان از جمله عوامل بازدارندة فکری مهم در اولویتدهی به سلامت در مردان ایرانی به حساب میآید .به علاوه، وضـعیت اجتماعی، شرایط سخت اشتغال، مشکلات اقتصادی ،</w:t>
      </w:r>
      <w:r w:rsidR="003916A3">
        <w:rPr>
          <w:szCs w:val="24"/>
        </w:rPr>
        <w:t xml:space="preserve"> </w:t>
      </w:r>
      <w:r>
        <w:rPr>
          <w:szCs w:val="24"/>
          <w:rtl/>
        </w:rPr>
        <w:t>روشهای مقابله با استرس،</w:t>
      </w:r>
      <w:r w:rsidR="009F0CFC">
        <w:rPr>
          <w:szCs w:val="24"/>
        </w:rPr>
        <w:t xml:space="preserve"> </w:t>
      </w:r>
      <w:r>
        <w:rPr>
          <w:szCs w:val="24"/>
          <w:rtl/>
        </w:rPr>
        <w:t>عقیده به قدرت مردانگی ،</w:t>
      </w:r>
      <w:r w:rsidR="003916A3">
        <w:rPr>
          <w:szCs w:val="24"/>
        </w:rPr>
        <w:t xml:space="preserve"> </w:t>
      </w:r>
      <w:r>
        <w:rPr>
          <w:szCs w:val="24"/>
          <w:rtl/>
        </w:rPr>
        <w:t>نژادپرستی، ناآگـاهی و برخی عقاید مذهبی خاص از جمله عوامل مؤثر بر ترجیح بندی مردان در خصوص بهرهمندی از خدمات سلامت دانسته شده</w:t>
      </w:r>
      <w:r w:rsidR="003916A3">
        <w:rPr>
          <w:szCs w:val="24"/>
        </w:rPr>
        <w:t xml:space="preserve"> </w:t>
      </w:r>
      <w:r>
        <w:rPr>
          <w:szCs w:val="24"/>
          <w:rtl/>
        </w:rPr>
        <w:t>اند در تحقیق دیگری  نشان داده شد که افراد شاغل از سلامت بیشتری برخوردارند و از دست دادن شغل از طریق کاهش انگیزه</w:t>
      </w:r>
      <w:r w:rsidR="003916A3">
        <w:rPr>
          <w:szCs w:val="24"/>
        </w:rPr>
        <w:t xml:space="preserve"> </w:t>
      </w:r>
      <w:r>
        <w:rPr>
          <w:szCs w:val="24"/>
          <w:rtl/>
        </w:rPr>
        <w:t>های فردی، باعث کاهش سلامتی و حتی بالا رفتن میـزان مرگ ومیر میشود.  تناسب نداشتن میزان درآمد بـا سطح تحصیلات و تخـصص از دیگر عوامل دغدغه</w:t>
      </w:r>
      <w:r w:rsidR="003916A3">
        <w:rPr>
          <w:szCs w:val="24"/>
        </w:rPr>
        <w:t xml:space="preserve"> </w:t>
      </w:r>
      <w:r>
        <w:rPr>
          <w:szCs w:val="24"/>
          <w:rtl/>
        </w:rPr>
        <w:t>ساز مردان است که بهشدت بر روی اولویت</w:t>
      </w:r>
      <w:r w:rsidR="003916A3">
        <w:rPr>
          <w:szCs w:val="24"/>
        </w:rPr>
        <w:t xml:space="preserve"> </w:t>
      </w:r>
      <w:r>
        <w:rPr>
          <w:szCs w:val="24"/>
          <w:rtl/>
        </w:rPr>
        <w:t>بندی سلامت در ذهن آنها تأثیر می گذارد . رضـایت شـغلی رابطة تنگاتنگ و مستقیمی با میزان سلامت افراد دارد و بر همین اصل، کسانی که از شغل خود راضی نیستند، معمولاً چون برای پیگیری سلامت خود انگیزة کمتری دارند، از میـزان سـلامت کمتری برخوردارند. تأمین اجتماعی در آینده ، ناکـافی بـودن حمایتهای اجتماعی، موقعیت بد مالی، و اثرات سـوءناشی از آن نیز از عواملی هستند که پرداختن به مقولة سلامت را تحت تأثیر قرار میدهند پژوهشهای مرتبط نشان داده</w:t>
      </w:r>
      <w:r w:rsidR="003916A3">
        <w:rPr>
          <w:szCs w:val="24"/>
        </w:rPr>
        <w:t xml:space="preserve"> </w:t>
      </w:r>
      <w:r>
        <w:rPr>
          <w:szCs w:val="24"/>
          <w:rtl/>
        </w:rPr>
        <w:t>اند که مـردان نـسبت بـه زنـان در سبک زندگی خود روشهای نادرست</w:t>
      </w:r>
      <w:r w:rsidR="00E87576">
        <w:rPr>
          <w:szCs w:val="24"/>
        </w:rPr>
        <w:t xml:space="preserve"> </w:t>
      </w:r>
      <w:r>
        <w:rPr>
          <w:szCs w:val="24"/>
          <w:rtl/>
        </w:rPr>
        <w:t>تری دارند، به بیماریهای خود  کمتر اهمیت می</w:t>
      </w:r>
      <w:r w:rsidR="00E87576">
        <w:rPr>
          <w:szCs w:val="24"/>
        </w:rPr>
        <w:t xml:space="preserve"> </w:t>
      </w:r>
      <w:r>
        <w:rPr>
          <w:szCs w:val="24"/>
          <w:rtl/>
        </w:rPr>
        <w:t xml:space="preserve">دهند، اغلب علایم هشداردهنده را نادیده میگیرند و دیرتر به مراکز درمانی مراجعه میکنند </w:t>
      </w:r>
    </w:p>
    <w:p w:rsidR="00C71CC4" w:rsidRDefault="001055A7" w:rsidP="003916A3">
      <w:pPr>
        <w:ind w:left="6" w:right="-13"/>
      </w:pPr>
      <w:r>
        <w:rPr>
          <w:szCs w:val="24"/>
          <w:rtl/>
        </w:rPr>
        <w:t>توجه ویژه به برخی مؤلفه</w:t>
      </w:r>
      <w:r w:rsidR="003916A3">
        <w:rPr>
          <w:szCs w:val="24"/>
        </w:rPr>
        <w:t xml:space="preserve"> </w:t>
      </w:r>
      <w:r>
        <w:rPr>
          <w:szCs w:val="24"/>
          <w:rtl/>
        </w:rPr>
        <w:t xml:space="preserve">های اجتماعی سلامت مردان دراین هفته می تواند موجب توجه بیشتر مردان به موضوع سلامتی وخودمراقبتی گردد. </w:t>
      </w:r>
    </w:p>
    <w:p w:rsidR="00C71CC4" w:rsidRDefault="00C71CC4">
      <w:pPr>
        <w:bidi w:val="0"/>
        <w:spacing w:after="86" w:line="259" w:lineRule="auto"/>
        <w:ind w:left="0" w:right="52" w:firstLine="0"/>
        <w:jc w:val="right"/>
      </w:pPr>
    </w:p>
    <w:p w:rsidR="00C71CC4" w:rsidRDefault="00C71CC4">
      <w:pPr>
        <w:bidi w:val="0"/>
        <w:spacing w:after="221" w:line="259" w:lineRule="auto"/>
        <w:ind w:left="0" w:right="82" w:firstLine="0"/>
        <w:jc w:val="right"/>
      </w:pPr>
    </w:p>
    <w:p w:rsidR="00C71CC4" w:rsidRDefault="00C71CC4">
      <w:pPr>
        <w:bidi w:val="0"/>
        <w:spacing w:after="223" w:line="259" w:lineRule="auto"/>
        <w:ind w:left="0" w:right="82" w:firstLine="0"/>
        <w:jc w:val="right"/>
      </w:pPr>
    </w:p>
    <w:p w:rsidR="00C71CC4" w:rsidRDefault="00C71CC4">
      <w:pPr>
        <w:bidi w:val="0"/>
        <w:spacing w:after="220" w:line="259" w:lineRule="auto"/>
        <w:ind w:left="0" w:right="82" w:firstLine="0"/>
        <w:jc w:val="right"/>
      </w:pPr>
    </w:p>
    <w:p w:rsidR="00C71CC4" w:rsidRDefault="00C71CC4">
      <w:pPr>
        <w:bidi w:val="0"/>
        <w:spacing w:after="220" w:line="259" w:lineRule="auto"/>
        <w:ind w:left="0" w:right="82" w:firstLine="0"/>
        <w:jc w:val="right"/>
      </w:pPr>
    </w:p>
    <w:p w:rsidR="00C71CC4" w:rsidRDefault="00C71CC4">
      <w:pPr>
        <w:bidi w:val="0"/>
        <w:spacing w:after="220" w:line="259" w:lineRule="auto"/>
        <w:ind w:left="0" w:right="82" w:firstLine="0"/>
        <w:jc w:val="right"/>
      </w:pPr>
    </w:p>
    <w:p w:rsidR="00C71CC4" w:rsidRDefault="00C71CC4">
      <w:pPr>
        <w:bidi w:val="0"/>
        <w:spacing w:after="223" w:line="259" w:lineRule="auto"/>
        <w:ind w:left="0" w:right="82" w:firstLine="0"/>
        <w:jc w:val="right"/>
      </w:pPr>
    </w:p>
    <w:p w:rsidR="00C71CC4" w:rsidRDefault="00C71CC4">
      <w:pPr>
        <w:bidi w:val="0"/>
        <w:spacing w:after="220" w:line="259" w:lineRule="auto"/>
        <w:ind w:left="0" w:right="82" w:firstLine="0"/>
        <w:jc w:val="right"/>
      </w:pPr>
    </w:p>
    <w:p w:rsidR="00C71CC4" w:rsidRDefault="00C71CC4">
      <w:pPr>
        <w:bidi w:val="0"/>
        <w:spacing w:after="220" w:line="259" w:lineRule="auto"/>
        <w:ind w:left="0" w:right="82" w:firstLine="0"/>
        <w:jc w:val="right"/>
      </w:pPr>
    </w:p>
    <w:sectPr w:rsidR="00C71CC4" w:rsidSect="00357D5E">
      <w:pgSz w:w="12240" w:h="15840"/>
      <w:pgMar w:top="1437" w:right="1434" w:bottom="1439" w:left="1440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232" w:rsidRDefault="00054232">
      <w:pPr>
        <w:spacing w:after="0" w:line="240" w:lineRule="auto"/>
      </w:pPr>
      <w:r>
        <w:separator/>
      </w:r>
    </w:p>
  </w:endnote>
  <w:endnote w:type="continuationSeparator" w:id="1">
    <w:p w:rsidR="00054232" w:rsidRDefault="0005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232" w:rsidRDefault="00054232">
      <w:pPr>
        <w:spacing w:after="0" w:line="259" w:lineRule="auto"/>
        <w:ind w:left="0" w:right="0" w:firstLine="0"/>
        <w:jc w:val="right"/>
      </w:pPr>
      <w:r>
        <w:separator/>
      </w:r>
    </w:p>
  </w:footnote>
  <w:footnote w:type="continuationSeparator" w:id="1">
    <w:p w:rsidR="00054232" w:rsidRDefault="00054232">
      <w:pPr>
        <w:spacing w:after="0" w:line="259" w:lineRule="auto"/>
        <w:ind w:left="0" w:right="0" w:firstLine="0"/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26F"/>
    <w:multiLevelType w:val="hybridMultilevel"/>
    <w:tmpl w:val="000AE88C"/>
    <w:lvl w:ilvl="0" w:tplc="D93EE180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AB876">
      <w:start w:val="1"/>
      <w:numFmt w:val="bullet"/>
      <w:lvlText w:val="o"/>
      <w:lvlJc w:val="left"/>
      <w:pPr>
        <w:ind w:left="10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00DEBA4C">
      <w:start w:val="1"/>
      <w:numFmt w:val="bullet"/>
      <w:lvlText w:val="▪"/>
      <w:lvlJc w:val="left"/>
      <w:pPr>
        <w:ind w:left="20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734827AE">
      <w:start w:val="1"/>
      <w:numFmt w:val="bullet"/>
      <w:lvlText w:val="•"/>
      <w:lvlJc w:val="left"/>
      <w:pPr>
        <w:ind w:left="2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AF6A05AE">
      <w:start w:val="1"/>
      <w:numFmt w:val="bullet"/>
      <w:lvlText w:val="o"/>
      <w:lvlJc w:val="left"/>
      <w:pPr>
        <w:ind w:left="3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4EA43784">
      <w:start w:val="1"/>
      <w:numFmt w:val="bullet"/>
      <w:lvlText w:val="▪"/>
      <w:lvlJc w:val="left"/>
      <w:pPr>
        <w:ind w:left="4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14AC75E0">
      <w:start w:val="1"/>
      <w:numFmt w:val="bullet"/>
      <w:lvlText w:val="•"/>
      <w:lvlJc w:val="left"/>
      <w:pPr>
        <w:ind w:left="4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B3882032">
      <w:start w:val="1"/>
      <w:numFmt w:val="bullet"/>
      <w:lvlText w:val="o"/>
      <w:lvlJc w:val="left"/>
      <w:pPr>
        <w:ind w:left="5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7B202138">
      <w:start w:val="1"/>
      <w:numFmt w:val="bullet"/>
      <w:lvlText w:val="▪"/>
      <w:lvlJc w:val="left"/>
      <w:pPr>
        <w:ind w:left="6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>
    <w:nsid w:val="0A161DEA"/>
    <w:multiLevelType w:val="hybridMultilevel"/>
    <w:tmpl w:val="7DB2764C"/>
    <w:lvl w:ilvl="0" w:tplc="B5FC08C8">
      <w:start w:val="1"/>
      <w:numFmt w:val="bullet"/>
      <w:lvlText w:val=""/>
      <w:lvlJc w:val="left"/>
      <w:pPr>
        <w:ind w:left="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6DCDA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CC4DE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6C79A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65E34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62714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08936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E85DC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6D03A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301B59"/>
    <w:multiLevelType w:val="hybridMultilevel"/>
    <w:tmpl w:val="C1543AD8"/>
    <w:lvl w:ilvl="0" w:tplc="FF94585A">
      <w:start w:val="1"/>
      <w:numFmt w:val="bullet"/>
      <w:lvlText w:val="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A13F4">
      <w:start w:val="1"/>
      <w:numFmt w:val="bullet"/>
      <w:lvlText w:val="o"/>
      <w:lvlJc w:val="left"/>
      <w:pPr>
        <w:ind w:left="1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EBB18">
      <w:start w:val="1"/>
      <w:numFmt w:val="bullet"/>
      <w:lvlText w:val="▪"/>
      <w:lvlJc w:val="left"/>
      <w:pPr>
        <w:ind w:left="1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A026E">
      <w:start w:val="1"/>
      <w:numFmt w:val="bullet"/>
      <w:lvlText w:val="•"/>
      <w:lvlJc w:val="left"/>
      <w:pPr>
        <w:ind w:left="2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86FCE">
      <w:start w:val="1"/>
      <w:numFmt w:val="bullet"/>
      <w:lvlText w:val="o"/>
      <w:lvlJc w:val="left"/>
      <w:pPr>
        <w:ind w:left="3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E6B64">
      <w:start w:val="1"/>
      <w:numFmt w:val="bullet"/>
      <w:lvlText w:val="▪"/>
      <w:lvlJc w:val="left"/>
      <w:pPr>
        <w:ind w:left="3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4F5AE">
      <w:start w:val="1"/>
      <w:numFmt w:val="bullet"/>
      <w:lvlText w:val="•"/>
      <w:lvlJc w:val="left"/>
      <w:pPr>
        <w:ind w:left="4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27224">
      <w:start w:val="1"/>
      <w:numFmt w:val="bullet"/>
      <w:lvlText w:val="o"/>
      <w:lvlJc w:val="left"/>
      <w:pPr>
        <w:ind w:left="5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69B5C">
      <w:start w:val="1"/>
      <w:numFmt w:val="bullet"/>
      <w:lvlText w:val="▪"/>
      <w:lvlJc w:val="left"/>
      <w:pPr>
        <w:ind w:left="6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F935C7"/>
    <w:multiLevelType w:val="hybridMultilevel"/>
    <w:tmpl w:val="94F86ABE"/>
    <w:lvl w:ilvl="0" w:tplc="7A6E455A">
      <w:start w:val="2"/>
      <w:numFmt w:val="decimal"/>
      <w:lvlText w:val="%1-"/>
      <w:lvlJc w:val="left"/>
      <w:pPr>
        <w:ind w:left="72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0D72E">
      <w:start w:val="1"/>
      <w:numFmt w:val="lowerLetter"/>
      <w:lvlText w:val="%2"/>
      <w:lvlJc w:val="left"/>
      <w:pPr>
        <w:ind w:left="143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41184">
      <w:start w:val="1"/>
      <w:numFmt w:val="lowerRoman"/>
      <w:lvlText w:val="%3"/>
      <w:lvlJc w:val="left"/>
      <w:pPr>
        <w:ind w:left="215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A3454">
      <w:start w:val="1"/>
      <w:numFmt w:val="decimal"/>
      <w:lvlText w:val="%4"/>
      <w:lvlJc w:val="left"/>
      <w:pPr>
        <w:ind w:left="287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66592">
      <w:start w:val="1"/>
      <w:numFmt w:val="lowerLetter"/>
      <w:lvlText w:val="%5"/>
      <w:lvlJc w:val="left"/>
      <w:pPr>
        <w:ind w:left="359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4CD54">
      <w:start w:val="1"/>
      <w:numFmt w:val="lowerRoman"/>
      <w:lvlText w:val="%6"/>
      <w:lvlJc w:val="left"/>
      <w:pPr>
        <w:ind w:left="431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FA6">
      <w:start w:val="1"/>
      <w:numFmt w:val="decimal"/>
      <w:lvlText w:val="%7"/>
      <w:lvlJc w:val="left"/>
      <w:pPr>
        <w:ind w:left="503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82474">
      <w:start w:val="1"/>
      <w:numFmt w:val="lowerLetter"/>
      <w:lvlText w:val="%8"/>
      <w:lvlJc w:val="left"/>
      <w:pPr>
        <w:ind w:left="575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6A7F6">
      <w:start w:val="1"/>
      <w:numFmt w:val="lowerRoman"/>
      <w:lvlText w:val="%9"/>
      <w:lvlJc w:val="left"/>
      <w:pPr>
        <w:ind w:left="647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B230D8"/>
    <w:multiLevelType w:val="hybridMultilevel"/>
    <w:tmpl w:val="30D83D5E"/>
    <w:lvl w:ilvl="0" w:tplc="9692EB9E">
      <w:start w:val="2"/>
      <w:numFmt w:val="decimal"/>
      <w:lvlText w:val="%1-"/>
      <w:lvlJc w:val="left"/>
      <w:pPr>
        <w:ind w:left="269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02180">
      <w:start w:val="1"/>
      <w:numFmt w:val="lowerLetter"/>
      <w:lvlText w:val="%2"/>
      <w:lvlJc w:val="left"/>
      <w:pPr>
        <w:ind w:left="108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67A3C">
      <w:start w:val="1"/>
      <w:numFmt w:val="lowerRoman"/>
      <w:lvlText w:val="%3"/>
      <w:lvlJc w:val="left"/>
      <w:pPr>
        <w:ind w:left="180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00928">
      <w:start w:val="1"/>
      <w:numFmt w:val="decimal"/>
      <w:lvlText w:val="%4"/>
      <w:lvlJc w:val="left"/>
      <w:pPr>
        <w:ind w:left="252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27B66">
      <w:start w:val="1"/>
      <w:numFmt w:val="lowerLetter"/>
      <w:lvlText w:val="%5"/>
      <w:lvlJc w:val="left"/>
      <w:pPr>
        <w:ind w:left="324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ECB08">
      <w:start w:val="1"/>
      <w:numFmt w:val="lowerRoman"/>
      <w:lvlText w:val="%6"/>
      <w:lvlJc w:val="left"/>
      <w:pPr>
        <w:ind w:left="396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E2A5A">
      <w:start w:val="1"/>
      <w:numFmt w:val="decimal"/>
      <w:lvlText w:val="%7"/>
      <w:lvlJc w:val="left"/>
      <w:pPr>
        <w:ind w:left="468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A404E">
      <w:start w:val="1"/>
      <w:numFmt w:val="lowerLetter"/>
      <w:lvlText w:val="%8"/>
      <w:lvlJc w:val="left"/>
      <w:pPr>
        <w:ind w:left="540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AA3BC">
      <w:start w:val="1"/>
      <w:numFmt w:val="lowerRoman"/>
      <w:lvlText w:val="%9"/>
      <w:lvlJc w:val="left"/>
      <w:pPr>
        <w:ind w:left="612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0C2021"/>
    <w:multiLevelType w:val="hybridMultilevel"/>
    <w:tmpl w:val="82C2E6B2"/>
    <w:lvl w:ilvl="0" w:tplc="D88E6A86">
      <w:start w:val="1"/>
      <w:numFmt w:val="bullet"/>
      <w:lvlText w:val="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2DB2C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44D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CA40C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0A24E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8CB14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E7CBE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E232A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06664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062E87"/>
    <w:multiLevelType w:val="hybridMultilevel"/>
    <w:tmpl w:val="613A612E"/>
    <w:lvl w:ilvl="0" w:tplc="A73ACDEC">
      <w:start w:val="1"/>
      <w:numFmt w:val="bullet"/>
      <w:lvlText w:val=""/>
      <w:lvlJc w:val="left"/>
      <w:pPr>
        <w:ind w:left="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6ED5C">
      <w:start w:val="1"/>
      <w:numFmt w:val="bullet"/>
      <w:lvlText w:val="o"/>
      <w:lvlJc w:val="left"/>
      <w:pPr>
        <w:ind w:left="1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AD0B4">
      <w:start w:val="1"/>
      <w:numFmt w:val="bullet"/>
      <w:lvlText w:val="▪"/>
      <w:lvlJc w:val="left"/>
      <w:pPr>
        <w:ind w:left="2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A5EEE">
      <w:start w:val="1"/>
      <w:numFmt w:val="bullet"/>
      <w:lvlText w:val="•"/>
      <w:lvlJc w:val="left"/>
      <w:pPr>
        <w:ind w:left="2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8824C">
      <w:start w:val="1"/>
      <w:numFmt w:val="bullet"/>
      <w:lvlText w:val="o"/>
      <w:lvlJc w:val="left"/>
      <w:pPr>
        <w:ind w:left="3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26A4A">
      <w:start w:val="1"/>
      <w:numFmt w:val="bullet"/>
      <w:lvlText w:val="▪"/>
      <w:lvlJc w:val="left"/>
      <w:pPr>
        <w:ind w:left="4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40C8A">
      <w:start w:val="1"/>
      <w:numFmt w:val="bullet"/>
      <w:lvlText w:val="•"/>
      <w:lvlJc w:val="left"/>
      <w:pPr>
        <w:ind w:left="5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2FC6C">
      <w:start w:val="1"/>
      <w:numFmt w:val="bullet"/>
      <w:lvlText w:val="o"/>
      <w:lvlJc w:val="left"/>
      <w:pPr>
        <w:ind w:left="5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C42CC">
      <w:start w:val="1"/>
      <w:numFmt w:val="bullet"/>
      <w:lvlText w:val="▪"/>
      <w:lvlJc w:val="left"/>
      <w:pPr>
        <w:ind w:left="6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D81AF3"/>
    <w:multiLevelType w:val="hybridMultilevel"/>
    <w:tmpl w:val="438A8BFA"/>
    <w:lvl w:ilvl="0" w:tplc="940C251E">
      <w:start w:val="1"/>
      <w:numFmt w:val="bullet"/>
      <w:lvlText w:val=""/>
      <w:lvlJc w:val="left"/>
      <w:pPr>
        <w:ind w:left="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E3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2A4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E22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A76D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C42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2D0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E5D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455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931912"/>
    <w:multiLevelType w:val="hybridMultilevel"/>
    <w:tmpl w:val="105CED26"/>
    <w:lvl w:ilvl="0" w:tplc="4948C92E">
      <w:start w:val="1"/>
      <w:numFmt w:val="bullet"/>
      <w:lvlText w:val="•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0D5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E44CC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6A49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27FB8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20C9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64D7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80EF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C0B10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0A10B0"/>
    <w:multiLevelType w:val="hybridMultilevel"/>
    <w:tmpl w:val="E81C40C8"/>
    <w:lvl w:ilvl="0" w:tplc="B96CD980">
      <w:start w:val="1"/>
      <w:numFmt w:val="bullet"/>
      <w:lvlText w:val=""/>
      <w:lvlJc w:val="left"/>
      <w:pPr>
        <w:ind w:left="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6FF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8C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485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241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C05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ACA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690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2B84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10395"/>
    <w:multiLevelType w:val="hybridMultilevel"/>
    <w:tmpl w:val="15269456"/>
    <w:lvl w:ilvl="0" w:tplc="1F64B83C">
      <w:start w:val="2"/>
      <w:numFmt w:val="decimal"/>
      <w:lvlText w:val="%1-"/>
      <w:lvlJc w:val="left"/>
      <w:pPr>
        <w:ind w:left="74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8988A">
      <w:start w:val="1"/>
      <w:numFmt w:val="lowerLetter"/>
      <w:lvlText w:val="%2"/>
      <w:lvlJc w:val="left"/>
      <w:pPr>
        <w:ind w:left="14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C541E">
      <w:start w:val="1"/>
      <w:numFmt w:val="lowerRoman"/>
      <w:lvlText w:val="%3"/>
      <w:lvlJc w:val="left"/>
      <w:pPr>
        <w:ind w:left="21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2BB10">
      <w:start w:val="1"/>
      <w:numFmt w:val="decimal"/>
      <w:lvlText w:val="%4"/>
      <w:lvlJc w:val="left"/>
      <w:pPr>
        <w:ind w:left="28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A0F6">
      <w:start w:val="1"/>
      <w:numFmt w:val="lowerLetter"/>
      <w:lvlText w:val="%5"/>
      <w:lvlJc w:val="left"/>
      <w:pPr>
        <w:ind w:left="360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99AC">
      <w:start w:val="1"/>
      <w:numFmt w:val="lowerRoman"/>
      <w:lvlText w:val="%6"/>
      <w:lvlJc w:val="left"/>
      <w:pPr>
        <w:ind w:left="432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82C68">
      <w:start w:val="1"/>
      <w:numFmt w:val="decimal"/>
      <w:lvlText w:val="%7"/>
      <w:lvlJc w:val="left"/>
      <w:pPr>
        <w:ind w:left="50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2AB54">
      <w:start w:val="1"/>
      <w:numFmt w:val="lowerLetter"/>
      <w:lvlText w:val="%8"/>
      <w:lvlJc w:val="left"/>
      <w:pPr>
        <w:ind w:left="57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0AA6C">
      <w:start w:val="1"/>
      <w:numFmt w:val="lowerRoman"/>
      <w:lvlText w:val="%9"/>
      <w:lvlJc w:val="left"/>
      <w:pPr>
        <w:ind w:left="64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CC4"/>
    <w:rsid w:val="000131A4"/>
    <w:rsid w:val="00036A07"/>
    <w:rsid w:val="00054232"/>
    <w:rsid w:val="000A1E69"/>
    <w:rsid w:val="001055A7"/>
    <w:rsid w:val="001F0F0E"/>
    <w:rsid w:val="0021545C"/>
    <w:rsid w:val="002843AF"/>
    <w:rsid w:val="00331D74"/>
    <w:rsid w:val="00357D5E"/>
    <w:rsid w:val="003916A3"/>
    <w:rsid w:val="003B1A87"/>
    <w:rsid w:val="003D66E8"/>
    <w:rsid w:val="004177C7"/>
    <w:rsid w:val="005637EE"/>
    <w:rsid w:val="007A3266"/>
    <w:rsid w:val="007A3D96"/>
    <w:rsid w:val="007D5A07"/>
    <w:rsid w:val="007E11D3"/>
    <w:rsid w:val="008A5134"/>
    <w:rsid w:val="009533DB"/>
    <w:rsid w:val="009F0CFC"/>
    <w:rsid w:val="009F39F9"/>
    <w:rsid w:val="00A162EC"/>
    <w:rsid w:val="00B27466"/>
    <w:rsid w:val="00C71CC4"/>
    <w:rsid w:val="00E87576"/>
    <w:rsid w:val="00F6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5E"/>
    <w:pPr>
      <w:bidi/>
      <w:spacing w:after="166" w:line="271" w:lineRule="auto"/>
      <w:ind w:left="3" w:right="2" w:firstLine="4"/>
      <w:jc w:val="both"/>
    </w:pPr>
    <w:rPr>
      <w:rFonts w:ascii="B Nazanin" w:eastAsia="B Nazanin" w:hAnsi="B Nazanin" w:cs="B 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357D5E"/>
    <w:pPr>
      <w:spacing w:after="0"/>
    </w:pPr>
    <w:rPr>
      <w:rFonts w:ascii="B Nazanin" w:eastAsia="B Nazanin" w:hAnsi="B Nazanin" w:cs="B Nazanin"/>
      <w:color w:val="333333"/>
      <w:sz w:val="20"/>
    </w:rPr>
  </w:style>
  <w:style w:type="character" w:customStyle="1" w:styleId="footnotedescriptionChar">
    <w:name w:val="footnote description Char"/>
    <w:link w:val="footnotedescription"/>
    <w:rsid w:val="00357D5E"/>
    <w:rPr>
      <w:rFonts w:ascii="B Nazanin" w:eastAsia="B Nazanin" w:hAnsi="B Nazanin" w:cs="B Nazanin"/>
      <w:color w:val="333333"/>
      <w:sz w:val="20"/>
    </w:rPr>
  </w:style>
  <w:style w:type="character" w:customStyle="1" w:styleId="footnotemark">
    <w:name w:val="footnote mark"/>
    <w:hidden/>
    <w:rsid w:val="00357D5E"/>
    <w:rPr>
      <w:rFonts w:ascii="B Nazanin" w:eastAsia="B Nazanin" w:hAnsi="B Nazanin" w:cs="B Nazanin"/>
      <w:color w:val="333333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07"/>
    <w:rPr>
      <w:rFonts w:ascii="Tahoma" w:eastAsia="B Nazani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کیانفر دکتر ملیحه</dc:creator>
  <cp:lastModifiedBy>rezaei</cp:lastModifiedBy>
  <cp:revision>14</cp:revision>
  <dcterms:created xsi:type="dcterms:W3CDTF">2022-02-13T07:57:00Z</dcterms:created>
  <dcterms:modified xsi:type="dcterms:W3CDTF">2022-02-14T07:11:00Z</dcterms:modified>
</cp:coreProperties>
</file>